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>
        <w:rPr>
          <w:rFonts w:ascii="Cambria" w:hAnsi="Cambria"/>
          <w:sz w:val="22"/>
          <w:szCs w:val="22"/>
        </w:rPr>
        <w:t xml:space="preserve"> 2-2/2015.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8/A. §</w:t>
      </w:r>
      <w:proofErr w:type="spellStart"/>
      <w:r>
        <w:rPr>
          <w:rFonts w:ascii="Cambria" w:hAnsi="Cambria"/>
          <w:b/>
          <w:sz w:val="22"/>
          <w:szCs w:val="24"/>
        </w:rPr>
        <w:t>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spellEnd"/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Default="005D7D45" w:rsidP="00113EB9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</w:p>
    <w:p w:rsidR="005D7D45" w:rsidRPr="00113EB9" w:rsidRDefault="005D7D45" w:rsidP="00113EB9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F5F6E" w:rsidRDefault="005D7D45" w:rsidP="00CF5F6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</w:p>
    <w:p w:rsidR="005D7D45" w:rsidRPr="00CF5F6E" w:rsidRDefault="005D7D45" w:rsidP="00113EB9">
      <w:pPr>
        <w:pStyle w:val="Listaszerbekezds"/>
        <w:tabs>
          <w:tab w:val="left" w:leader="dot" w:pos="9072"/>
        </w:tabs>
        <w:spacing w:before="720" w:after="480"/>
        <w:ind w:left="357" w:right="-142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b/>
            <w:sz w:val="28"/>
            <w:szCs w:val="24"/>
          </w:rPr>
          <w:lastRenderedPageBreak/>
          <w:t xml:space="preserve">3.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 irányít</w:t>
      </w:r>
      <w:r w:rsidRPr="00CF5F6E">
        <w:rPr>
          <w:rFonts w:ascii="Cambria" w:hAnsi="Cambria"/>
          <w:b/>
          <w:sz w:val="28"/>
          <w:szCs w:val="24"/>
        </w:rPr>
        <w:t>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szerv irányító szervének/felügyeleti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5D7D45" w:rsidRDefault="005D7D45" w:rsidP="00396363">
      <w:pPr>
        <w:pStyle w:val="Listaszerbekezds"/>
        <w:tabs>
          <w:tab w:val="left" w:leader="dot" w:pos="9072"/>
        </w:tabs>
        <w:spacing w:before="720" w:after="480"/>
        <w:ind w:left="1919" w:right="-143"/>
        <w:contextualSpacing w:val="0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b/>
            <w:sz w:val="28"/>
            <w:szCs w:val="24"/>
          </w:rPr>
          <w:t xml:space="preserve">4.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</w:t>
      </w:r>
      <w:r>
        <w:rPr>
          <w:rFonts w:ascii="Cambria" w:hAnsi="Cambria"/>
          <w:b/>
          <w:sz w:val="28"/>
          <w:szCs w:val="24"/>
        </w:rPr>
        <w:t>költségvetési szerv tevékenysége</w:t>
      </w:r>
    </w:p>
    <w:p w:rsidR="005D7D45" w:rsidRPr="00FE72C3" w:rsidRDefault="005D7D45" w:rsidP="00CB60AF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4.1. </w:t>
      </w:r>
      <w:r w:rsidRPr="00FE72C3">
        <w:rPr>
          <w:rFonts w:ascii="Cambria" w:hAnsi="Cambria"/>
          <w:sz w:val="22"/>
          <w:szCs w:val="22"/>
        </w:rPr>
        <w:t xml:space="preserve">A költségvetési szerv közfeladata: </w:t>
      </w:r>
      <w:r w:rsidRPr="00FE72C3">
        <w:rPr>
          <w:rFonts w:ascii="Garamond" w:hAnsi="Garamond" w:cs="Courier New"/>
          <w:sz w:val="26"/>
          <w:szCs w:val="26"/>
        </w:rPr>
        <w:t>Magyarország helyi önkormányzatairól szóló 2011. évi CLXXXIX. törvény 90. § (1) bekezdése szerint a Pápakörnyéki Önkormányzatok Feladatellátó Társulás</w:t>
      </w:r>
      <w:r w:rsidRPr="00FE72C3">
        <w:rPr>
          <w:rFonts w:ascii="Garamond" w:hAnsi="Garamond" w:cs="Courier New"/>
          <w:b/>
          <w:sz w:val="26"/>
          <w:szCs w:val="26"/>
        </w:rPr>
        <w:t xml:space="preserve"> </w:t>
      </w:r>
      <w:r w:rsidRPr="00FE72C3">
        <w:rPr>
          <w:rFonts w:ascii="Garamond" w:hAnsi="Garamond" w:cs="Courier New"/>
          <w:sz w:val="26"/>
          <w:szCs w:val="26"/>
        </w:rPr>
        <w:t xml:space="preserve">Társulási Megállapodás 1. mellékletében felsorolt települések által a társulási megállapodás 2.a-2.-e. mellékleteiben felsorolt közfeladatok jogszabályban, a szociális igazgatásról és szociális ellátásokról szóló 1993. évi III. törvényben és a gyermekek védelméről és a gyámügyi igazgatásról szóló 1997. évi XXXI. törvényben meghatározott ellátása. </w:t>
      </w:r>
    </w:p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881000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107052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107054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Családsegítés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104042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Gyermekjóléti szolgáltatás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072112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041231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041233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Garamond" w:hAnsi="Garamond" w:cs="Courier New"/>
                <w:sz w:val="26"/>
                <w:szCs w:val="26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</w:p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CB60AF" w:rsidRDefault="005D7D45" w:rsidP="00CB60AF">
      <w:pPr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 Pápakörnyéki Önkormányzatok Feladatellátó Társulása társulási megállapodásában vállalt egyes önkormányzati feladatok tekintetében az alábbiak szerint:</w:t>
      </w:r>
    </w:p>
    <w:p w:rsidR="005D7D45" w:rsidRPr="00CB60AF" w:rsidRDefault="005D7D45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</w:p>
    <w:p w:rsidR="005D7D45" w:rsidRPr="00CB60AF" w:rsidRDefault="005D7D45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lastRenderedPageBreak/>
        <w:t>a)</w:t>
      </w:r>
      <w:r w:rsidRPr="00CB60AF">
        <w:rPr>
          <w:rFonts w:ascii="Garamond" w:hAnsi="Garamond" w:cs="Courier New"/>
          <w:sz w:val="26"/>
          <w:szCs w:val="26"/>
        </w:rPr>
        <w:tab/>
        <w:t xml:space="preserve">szociális alapszolgáltatás: </w:t>
      </w:r>
    </w:p>
    <w:p w:rsidR="005D7D45" w:rsidRPr="00CB60AF" w:rsidRDefault="005D7D45" w:rsidP="00CB60AF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ab/>
      </w:r>
      <w:proofErr w:type="spellStart"/>
      <w:r w:rsidRPr="00CB60AF">
        <w:rPr>
          <w:rFonts w:ascii="Garamond" w:hAnsi="Garamond" w:cs="Courier New"/>
          <w:sz w:val="26"/>
          <w:szCs w:val="26"/>
        </w:rPr>
        <w:t>aa</w:t>
      </w:r>
      <w:proofErr w:type="spellEnd"/>
      <w:r w:rsidRPr="00CB60AF">
        <w:rPr>
          <w:rFonts w:ascii="Garamond" w:hAnsi="Garamond" w:cs="Courier New"/>
          <w:sz w:val="26"/>
          <w:szCs w:val="26"/>
        </w:rPr>
        <w:t>) házi segítségnyújtás:</w:t>
      </w:r>
    </w:p>
    <w:p w:rsidR="005D7D45" w:rsidRPr="00CB60AF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Vaszar. Vinár települések közigazgatási területe</w:t>
      </w: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b/>
          <w:sz w:val="26"/>
          <w:szCs w:val="26"/>
        </w:rPr>
      </w:pP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ab) családsegítés:</w:t>
      </w: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Homokbödöge, Kemeneshőgyész, Kup, Külsővat, Lovászpatona, Magyargencs, Malomsok, Marc</w:t>
      </w:r>
      <w:r>
        <w:rPr>
          <w:rFonts w:ascii="Garamond" w:hAnsi="Garamond" w:cs="Courier New"/>
          <w:sz w:val="26"/>
          <w:szCs w:val="26"/>
        </w:rPr>
        <w:t>algergelyi,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 Nemesgörzsöny, Nemesszalók, Németbánya, Nóráp, Nyárád, Pápadereske, Pápakovácsi, Pápasalamon, Pápateszér, Takácsi, Ugod, Vanyola, Várkesző, Vaszar. Vinár települések közigazgatási területe.</w:t>
      </w: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:rsidR="005D7D45" w:rsidRPr="00CB60AF" w:rsidRDefault="005D7D45" w:rsidP="00CB60AF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 xml:space="preserve">gyermekjóléti alapellátás: </w:t>
      </w: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 Kemeneshőgyész, Kup, Külsővat, Lovászpatona, Magyargencs, Malomsok, Marcalgergely</w:t>
      </w:r>
      <w:r>
        <w:rPr>
          <w:rFonts w:ascii="Garamond" w:hAnsi="Garamond" w:cs="Courier New"/>
          <w:sz w:val="26"/>
          <w:szCs w:val="26"/>
        </w:rPr>
        <w:t>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Nemesgörzsöny, Nemesszalók, Németbánya, Nóráp, Nyárád, Pápadereske, Pápakovácsi, Pápasalamon, Pápateszér, Takácsi, Ugod, Vanyola, Várkesző, Vaszar. Vinár települések közigazgatási területe</w:t>
      </w:r>
    </w:p>
    <w:p w:rsidR="005D7D45" w:rsidRPr="00CB60AF" w:rsidRDefault="005D7D45" w:rsidP="00CB60AF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:rsidR="005D7D45" w:rsidRPr="00CB60AF" w:rsidRDefault="005D7D45" w:rsidP="00CB60AF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egészségügyi feladat:</w:t>
      </w:r>
    </w:p>
    <w:p w:rsidR="005D7D45" w:rsidRPr="00CF5F6E" w:rsidRDefault="005D7D45" w:rsidP="00CF5F6E">
      <w:pPr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Várkesző, Vaszar. Vinár települések közigazgatási területe</w:t>
      </w:r>
    </w:p>
    <w:p w:rsidR="005D7D45" w:rsidRPr="00E57AA3" w:rsidRDefault="005D7D45" w:rsidP="00FF6576">
      <w:pPr>
        <w:pStyle w:val="Listaszerbekezds"/>
        <w:tabs>
          <w:tab w:val="left" w:leader="dot" w:pos="9072"/>
          <w:tab w:val="left" w:leader="dot" w:pos="9781"/>
        </w:tabs>
        <w:spacing w:before="72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b/>
            <w:sz w:val="28"/>
            <w:szCs w:val="24"/>
          </w:rPr>
          <w:t xml:space="preserve">5.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5177FD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>Az intézmén</w:t>
      </w:r>
      <w:r>
        <w:rPr>
          <w:rFonts w:ascii="Garamond" w:hAnsi="Garamond" w:cs="Courier New"/>
          <w:sz w:val="26"/>
          <w:szCs w:val="26"/>
        </w:rPr>
        <w:t xml:space="preserve">y vezetőjét a </w:t>
      </w:r>
      <w:r w:rsidRPr="00EB6827">
        <w:rPr>
          <w:rFonts w:ascii="Garamond" w:hAnsi="Garamond" w:cs="Courier New"/>
          <w:sz w:val="26"/>
          <w:szCs w:val="26"/>
        </w:rPr>
        <w:t>Pápakörnyéki Önkormányzatok Feladatellátó Társulás</w:t>
      </w:r>
      <w:r w:rsidRPr="006637BE">
        <w:rPr>
          <w:rFonts w:ascii="Garamond" w:hAnsi="Garamond" w:cs="Courier New"/>
          <w:b/>
          <w:sz w:val="26"/>
          <w:szCs w:val="26"/>
        </w:rPr>
        <w:t xml:space="preserve"> </w:t>
      </w:r>
      <w:r w:rsidRPr="00EB6827">
        <w:rPr>
          <w:rFonts w:ascii="Garamond" w:hAnsi="Garamond" w:cs="Courier New"/>
          <w:sz w:val="26"/>
          <w:szCs w:val="26"/>
        </w:rPr>
        <w:t>Társulási Tanácsa</w:t>
      </w:r>
      <w:r w:rsidRPr="005177FD">
        <w:rPr>
          <w:rFonts w:ascii="Garamond" w:hAnsi="Garamond" w:cs="Courier New"/>
          <w:sz w:val="26"/>
          <w:szCs w:val="26"/>
        </w:rPr>
        <w:t xml:space="preserve"> bízza meg 5 évre nyilvános pályázat útján. a közalkalmazott</w:t>
      </w:r>
      <w:r>
        <w:rPr>
          <w:rFonts w:ascii="Garamond" w:hAnsi="Garamond" w:cs="Courier New"/>
          <w:sz w:val="26"/>
          <w:szCs w:val="26"/>
        </w:rPr>
        <w:t xml:space="preserve">ak jogállásáról szóló </w:t>
      </w:r>
      <w:r w:rsidRPr="005177FD">
        <w:rPr>
          <w:rFonts w:ascii="Garamond" w:hAnsi="Garamond" w:cs="Courier New"/>
          <w:sz w:val="26"/>
          <w:szCs w:val="26"/>
        </w:rPr>
        <w:t>1992. évi XXXIII. törvény alapján.</w:t>
      </w:r>
    </w:p>
    <w:p w:rsidR="005D7D45" w:rsidRPr="005177FD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lastRenderedPageBreak/>
        <w:t>A megbízás előkészítését, a pályázati eljárással kapcsolatos feladatokat a Vaszari Közös Önkormányzati Hivatal látja el.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ab/>
        <w:t>Az intézményvezető önálló munkaáltatói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5177FD">
        <w:rPr>
          <w:rFonts w:ascii="Garamond" w:hAnsi="Garamond" w:cs="Courier New"/>
          <w:sz w:val="26"/>
          <w:szCs w:val="26"/>
        </w:rPr>
        <w:tab/>
        <w:t xml:space="preserve">Az intézményvezető magasabb beosztású közalkalmazottnak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5.3. </w:t>
      </w:r>
      <w:r w:rsidRPr="00FF6576">
        <w:rPr>
          <w:rFonts w:ascii="Cambria" w:hAnsi="Cambria"/>
          <w:sz w:val="22"/>
          <w:szCs w:val="22"/>
        </w:rPr>
        <w:t>A költségvetési szerv szervezeti felépítése és működése:</w:t>
      </w:r>
      <w:r>
        <w:rPr>
          <w:rFonts w:ascii="Cambria" w:hAnsi="Cambria"/>
          <w:sz w:val="22"/>
          <w:szCs w:val="22"/>
        </w:rPr>
        <w:t xml:space="preserve"> A Pápakörnyéki Önkormányzatok Feladatellátó Társulás Társulási Tanácsa 14/2013. (IV. 25.) határozatával jóváhagyott intézményi</w:t>
      </w:r>
      <w:r w:rsidRPr="00FF6576">
        <w:rPr>
          <w:rFonts w:ascii="Cambria" w:hAnsi="Cambria"/>
          <w:sz w:val="22"/>
          <w:szCs w:val="22"/>
        </w:rPr>
        <w:t xml:space="preserve"> szervezeti és működési szabályzata szerint.</w:t>
      </w:r>
    </w:p>
    <w:p w:rsidR="005D7D45" w:rsidRPr="00F96527" w:rsidRDefault="005D7D45" w:rsidP="00F96527">
      <w:pPr>
        <w:tabs>
          <w:tab w:val="left" w:leader="dot" w:pos="9072"/>
          <w:tab w:val="left" w:leader="dot" w:pos="9781"/>
        </w:tabs>
        <w:spacing w:before="720" w:after="480"/>
        <w:ind w:left="1559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5D7D45" w:rsidRPr="002A0DDD" w:rsidRDefault="005D7D45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2A0DDD">
        <w:rPr>
          <w:rFonts w:ascii="Cambria" w:hAnsi="Cambria"/>
          <w:sz w:val="22"/>
          <w:szCs w:val="24"/>
        </w:rPr>
        <w:t>Jelen alapító okiratot a törzskönyvi nyilvántartásba történő bejegyzés napjától kell alkalmazni, ezzel egyidejűleg a költségvetési szerv</w:t>
      </w:r>
      <w:r>
        <w:rPr>
          <w:rFonts w:ascii="Cambria" w:hAnsi="Cambria"/>
          <w:sz w:val="22"/>
          <w:szCs w:val="24"/>
        </w:rPr>
        <w:t xml:space="preserve"> 2014. november 20.</w:t>
      </w:r>
      <w:r w:rsidRPr="002A0DDD"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22"/>
          <w:szCs w:val="24"/>
        </w:rPr>
        <w:t>napján kelt alapító okiratá</w:t>
      </w:r>
      <w:r w:rsidRPr="002A0DDD">
        <w:rPr>
          <w:rFonts w:ascii="Cambria" w:hAnsi="Cambria"/>
          <w:sz w:val="22"/>
          <w:szCs w:val="24"/>
        </w:rPr>
        <w:t>t visszavonom.</w:t>
      </w:r>
    </w:p>
    <w:p w:rsidR="005D7D45" w:rsidRDefault="005D7D45" w:rsidP="0015661F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  <w:szCs w:val="24"/>
        </w:rPr>
      </w:pPr>
      <w:r w:rsidRPr="002A0DDD">
        <w:rPr>
          <w:rFonts w:ascii="Cambria" w:hAnsi="Cambria"/>
          <w:sz w:val="22"/>
          <w:szCs w:val="24"/>
        </w:rPr>
        <w:t xml:space="preserve">Kelt: </w:t>
      </w:r>
      <w:r>
        <w:rPr>
          <w:rFonts w:ascii="Cambria" w:hAnsi="Cambria"/>
          <w:sz w:val="22"/>
          <w:szCs w:val="24"/>
        </w:rPr>
        <w:t>Pápa, 2015. február 12.</w:t>
      </w:r>
    </w:p>
    <w:p w:rsidR="005D7D45" w:rsidRDefault="005D7D45" w:rsidP="0015661F"/>
    <w:p w:rsidR="005D7D45" w:rsidRDefault="005D7D45" w:rsidP="0015661F"/>
    <w:p w:rsidR="005D7D45" w:rsidRDefault="005D7D45" w:rsidP="0015661F"/>
    <w:p w:rsidR="005D7D45" w:rsidRDefault="005D7D45" w:rsidP="0015661F"/>
    <w:p w:rsidR="005D7D45" w:rsidRDefault="005D7D45" w:rsidP="0015661F">
      <w:pPr>
        <w:pStyle w:val="Nincstrkz"/>
      </w:pPr>
      <w:r>
        <w:t>_________________________________              ___________________________________</w:t>
      </w:r>
    </w:p>
    <w:p w:rsidR="005D7D45" w:rsidRDefault="005D7D45" w:rsidP="0015661F">
      <w:pPr>
        <w:pStyle w:val="Nincstrkz"/>
      </w:pPr>
      <w:r>
        <w:t xml:space="preserve">             Varga Péter                                                               Vida László Gábor</w:t>
      </w:r>
    </w:p>
    <w:p w:rsidR="005D7D45" w:rsidRPr="0015661F" w:rsidRDefault="005D7D45" w:rsidP="0015661F">
      <w:pPr>
        <w:pStyle w:val="Nincstrkz"/>
      </w:pPr>
      <w:r>
        <w:t xml:space="preserve">                   elnök                                                                            aljegyző                      </w:t>
      </w:r>
    </w:p>
    <w:sectPr w:rsidR="005D7D45" w:rsidRPr="0015661F" w:rsidSect="001375B6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B0" w:rsidRDefault="007665B0" w:rsidP="00861402">
      <w:r>
        <w:separator/>
      </w:r>
    </w:p>
  </w:endnote>
  <w:endnote w:type="continuationSeparator" w:id="0">
    <w:p w:rsidR="007665B0" w:rsidRDefault="007665B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3A56E2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B0" w:rsidRDefault="007665B0" w:rsidP="00861402">
      <w:r>
        <w:separator/>
      </w:r>
    </w:p>
  </w:footnote>
  <w:footnote w:type="continuationSeparator" w:id="0">
    <w:p w:rsidR="007665B0" w:rsidRDefault="007665B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45" w:rsidRDefault="005D7D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45" w:rsidRDefault="005D7D4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45" w:rsidRDefault="005D7D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2A9C"/>
    <w:rsid w:val="000B6ABC"/>
    <w:rsid w:val="000D18B3"/>
    <w:rsid w:val="000E4A08"/>
    <w:rsid w:val="000E5193"/>
    <w:rsid w:val="001130D2"/>
    <w:rsid w:val="00113EB9"/>
    <w:rsid w:val="0011403E"/>
    <w:rsid w:val="00114A3E"/>
    <w:rsid w:val="00116C82"/>
    <w:rsid w:val="001375B6"/>
    <w:rsid w:val="00141015"/>
    <w:rsid w:val="00145E2F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B0F3B"/>
    <w:rsid w:val="002B7552"/>
    <w:rsid w:val="002E7C12"/>
    <w:rsid w:val="002F0BB2"/>
    <w:rsid w:val="00302430"/>
    <w:rsid w:val="0031264C"/>
    <w:rsid w:val="003424E1"/>
    <w:rsid w:val="00351687"/>
    <w:rsid w:val="003621B0"/>
    <w:rsid w:val="003657EC"/>
    <w:rsid w:val="0036687F"/>
    <w:rsid w:val="00396363"/>
    <w:rsid w:val="003A56E2"/>
    <w:rsid w:val="003B4664"/>
    <w:rsid w:val="003B4891"/>
    <w:rsid w:val="003B7828"/>
    <w:rsid w:val="003D1F9B"/>
    <w:rsid w:val="003D55AD"/>
    <w:rsid w:val="003D6F4F"/>
    <w:rsid w:val="004048E2"/>
    <w:rsid w:val="00416954"/>
    <w:rsid w:val="00420503"/>
    <w:rsid w:val="0042792C"/>
    <w:rsid w:val="00442C7B"/>
    <w:rsid w:val="0044778C"/>
    <w:rsid w:val="004520EA"/>
    <w:rsid w:val="0045799E"/>
    <w:rsid w:val="004719E6"/>
    <w:rsid w:val="00486B00"/>
    <w:rsid w:val="00495374"/>
    <w:rsid w:val="004977BD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32953"/>
    <w:rsid w:val="00633889"/>
    <w:rsid w:val="006541CD"/>
    <w:rsid w:val="006637BE"/>
    <w:rsid w:val="00667A84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40C69"/>
    <w:rsid w:val="00841712"/>
    <w:rsid w:val="0085132C"/>
    <w:rsid w:val="00861402"/>
    <w:rsid w:val="008856A2"/>
    <w:rsid w:val="008C0F4A"/>
    <w:rsid w:val="008C0F8B"/>
    <w:rsid w:val="008D1BDE"/>
    <w:rsid w:val="008D6FD1"/>
    <w:rsid w:val="008E5C1B"/>
    <w:rsid w:val="008F1B58"/>
    <w:rsid w:val="00903F65"/>
    <w:rsid w:val="009213CD"/>
    <w:rsid w:val="009330B7"/>
    <w:rsid w:val="00947D3E"/>
    <w:rsid w:val="00960F7C"/>
    <w:rsid w:val="00967AF1"/>
    <w:rsid w:val="00985D73"/>
    <w:rsid w:val="00985D85"/>
    <w:rsid w:val="00991CFB"/>
    <w:rsid w:val="009A3F59"/>
    <w:rsid w:val="009A6FD1"/>
    <w:rsid w:val="009A77DB"/>
    <w:rsid w:val="009D28E9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4BF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85764"/>
    <w:rsid w:val="00BB081F"/>
    <w:rsid w:val="00BD37F6"/>
    <w:rsid w:val="00BE6DBD"/>
    <w:rsid w:val="00BF3AFD"/>
    <w:rsid w:val="00C0349E"/>
    <w:rsid w:val="00C227EB"/>
    <w:rsid w:val="00C46557"/>
    <w:rsid w:val="00C46EC8"/>
    <w:rsid w:val="00C70582"/>
    <w:rsid w:val="00C8030F"/>
    <w:rsid w:val="00C82A3F"/>
    <w:rsid w:val="00C93F42"/>
    <w:rsid w:val="00CB027A"/>
    <w:rsid w:val="00CB1FE8"/>
    <w:rsid w:val="00CB60AF"/>
    <w:rsid w:val="00CD12CF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5D58"/>
    <w:rsid w:val="00DB0A64"/>
    <w:rsid w:val="00DB0D53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54A4D"/>
    <w:rsid w:val="00E57AA3"/>
    <w:rsid w:val="00E637AF"/>
    <w:rsid w:val="00E65A89"/>
    <w:rsid w:val="00E77589"/>
    <w:rsid w:val="00E82995"/>
    <w:rsid w:val="00E850A0"/>
    <w:rsid w:val="00E95A2B"/>
    <w:rsid w:val="00EB1EE7"/>
    <w:rsid w:val="00EB6827"/>
    <w:rsid w:val="00ED311E"/>
    <w:rsid w:val="00ED3D03"/>
    <w:rsid w:val="00EE4603"/>
    <w:rsid w:val="00EF2FF7"/>
    <w:rsid w:val="00F028AD"/>
    <w:rsid w:val="00F05E74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5B26E1-2FD1-4E3C-BAB1-01BBED5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subject/>
  <dc:creator>Kocsis Boglárka Dóra</dc:creator>
  <cp:keywords/>
  <dc:description/>
  <cp:lastModifiedBy>Vida Laszlo</cp:lastModifiedBy>
  <cp:revision>3</cp:revision>
  <cp:lastPrinted>2015-03-13T10:07:00Z</cp:lastPrinted>
  <dcterms:created xsi:type="dcterms:W3CDTF">2015-03-16T09:36:00Z</dcterms:created>
  <dcterms:modified xsi:type="dcterms:W3CDTF">2015-04-21T12:43:00Z</dcterms:modified>
</cp:coreProperties>
</file>